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yellow"/>
        </w:rPr>
      </w:pPr>
      <w:r>
        <w:rPr>
          <w:highlight w:val="yellow"/>
        </w:rPr>
        <w:t xml:space="preserve">An </w:t>
      </w:r>
      <w:r>
        <w:rPr>
          <w:highlight w:val="yellow"/>
        </w:rPr>
      </w:r>
    </w:p>
    <w:p>
      <w:pPr>
        <w:rPr>
          <w:highlight w:val="yellow"/>
        </w:rPr>
      </w:pPr>
      <w:r>
        <w:rPr>
          <w:highlight w:val="yellow"/>
        </w:rPr>
        <w:t xml:space="preserve">Rufname Familienname</w:t>
      </w:r>
      <w:r>
        <w:rPr>
          <w:highlight w:val="yellow"/>
        </w:rPr>
      </w:r>
    </w:p>
    <w:p>
      <w:pPr>
        <w:rPr>
          <w:highlight w:val="yellow"/>
        </w:rPr>
      </w:pPr>
      <w:r>
        <w:rPr>
          <w:highlight w:val="yellow"/>
        </w:rPr>
        <w:t xml:space="preserve">Mail-Adresse</w:t>
      </w:r>
      <w:r>
        <w:rPr>
          <w:highlight w:val="yellow"/>
        </w:rPr>
      </w:r>
    </w:p>
    <w:p>
      <w:pPr>
        <w:rPr>
          <w:u w:val="single"/>
        </w:rPr>
      </w:pPr>
      <w:r>
        <w:rPr>
          <w:highlight w:val="yellow"/>
          <w:u w:val="single"/>
        </w:rPr>
        <w:t xml:space="preserve">Persönlich</w:t>
      </w:r>
      <w:r>
        <w:rPr>
          <w:u w:val="single"/>
        </w:rPr>
      </w:r>
      <w:r>
        <w:rPr>
          <w:u w:val="single"/>
        </w:rPr>
      </w:r>
      <w:r>
        <w:rPr>
          <w:u w:val="single"/>
        </w:rPr>
      </w:r>
      <w:r>
        <w:rPr>
          <w:u w:val="single"/>
        </w:rPr>
      </w:r>
    </w:p>
    <w:p>
      <w:pPr>
        <w:jc w:val="right"/>
        <w:spacing w:after="0" w:afterAutospacing="0"/>
        <w:rPr>
          <w:highlight w:val="yellow"/>
          <w14:ligatures w14:val="none"/>
        </w:rPr>
      </w:pPr>
      <w:r>
        <w:rPr>
          <w:highlight w:val="yellow"/>
        </w:rPr>
      </w:r>
      <w:r>
        <w:rPr>
          <w:highlight w:val="yellow"/>
          <w14:ligatures w14:val="none"/>
        </w:rPr>
      </w:r>
      <w:r>
        <w:rPr>
          <w:highlight w:val="yellow"/>
          <w14:ligatures w14:val="none"/>
        </w:rPr>
      </w:r>
    </w:p>
    <w:p>
      <w:pPr>
        <w:jc w:val="right"/>
        <w:spacing w:after="0" w:afterAutospacing="0"/>
        <w:rPr>
          <w:highlight w:val="yellow"/>
          <w14:ligatures w14:val="none"/>
        </w:rPr>
      </w:pPr>
      <w:r>
        <w:rPr>
          <w:highlight w:val="yellow"/>
        </w:rPr>
        <w:t xml:space="preserve">Ort, Datum</w:t>
      </w:r>
      <w:r>
        <w:rPr>
          <w:highlight w:val="yellow"/>
          <w14:ligatures w14:val="none"/>
        </w:rPr>
      </w:r>
      <w:r>
        <w:rPr>
          <w:highlight w:val="yellow"/>
          <w14:ligatures w14:val="none"/>
        </w:rPr>
      </w:r>
    </w:p>
    <w:p>
      <w:pPr>
        <w:jc w:val="right"/>
      </w:pPr>
      <w:r/>
      <w:r/>
      <w:r/>
    </w:p>
    <w:p>
      <w:pPr>
        <w:spacing w:line="240" w:lineRule="auto"/>
        <w:rPr>
          <w:b/>
          <w:bCs w:val="0"/>
        </w:rPr>
      </w:pPr>
      <w:r>
        <w:rPr>
          <w:b/>
          <w:bCs w:val="0"/>
        </w:rPr>
        <w:t xml:space="preserve">Sachverhaltsdarstellung und </w:t>
      </w:r>
      <w:r>
        <w:rPr>
          <w:b/>
          <w:bCs w:val="0"/>
        </w:rPr>
        <w:t xml:space="preserve">Verhaltens</w:t>
      </w:r>
      <w:r>
        <w:rPr>
          <w:b/>
          <w:bCs w:val="0"/>
        </w:rPr>
        <w:t xml:space="preserve">beschwerde</w:t>
      </w:r>
      <w:r>
        <w:rPr>
          <w:b/>
          <w:bCs w:val="0"/>
        </w:rPr>
        <w:t xml:space="preserve"> gegen OBS</w:t>
      </w:r>
      <w:r>
        <w:rPr>
          <w:b/>
          <w:bCs w:val="0"/>
        </w:rPr>
      </w:r>
    </w:p>
    <w:p>
      <w:pPr>
        <w:spacing w:line="240" w:lineRule="auto"/>
      </w:pPr>
      <w:r/>
      <w:r/>
    </w:p>
    <w:p>
      <w:pPr>
        <w:spacing w:line="240" w:lineRule="auto"/>
      </w:pPr>
      <w:r>
        <w:rPr>
          <w:highlight w:val="yellow"/>
        </w:rPr>
        <w:t xml:space="preserve">Werter</w:t>
      </w:r>
      <w:r>
        <w:rPr>
          <w:highlight w:val="yellow"/>
        </w:rPr>
        <w:t xml:space="preserve">/Werte Hr/Fr Familienname</w:t>
      </w:r>
      <w:r/>
    </w:p>
    <w:p>
      <w:pPr>
        <w:spacing w:line="240" w:lineRule="auto"/>
      </w:pPr>
      <w:r/>
      <w:r/>
    </w:p>
    <w:p>
      <w:pPr>
        <w:spacing w:after="120"/>
      </w:pPr>
      <w:r>
        <w:t xml:space="preserve">Mit 1.1.2024 wurde die GIS in die OBS umbenannt und mit der Betreibung des </w:t>
      </w:r>
      <w:r>
        <w:t xml:space="preserve">nunmehr als „Haushaltsabgabe“ ausgestalteten </w:t>
      </w:r>
      <w:r>
        <w:t xml:space="preserve">neuen ORF-Beitrags </w:t>
      </w:r>
      <w:r>
        <w:t xml:space="preserve">beauftragt. </w:t>
      </w:r>
      <w:r>
        <w:t xml:space="preserve">Gleichzeitig wurde die OBS mit Landesgesetz als Abgabenbehörde für die Einhebung der Landesabgabe bestimmt.</w:t>
      </w:r>
      <w:r/>
    </w:p>
    <w:p>
      <w:pPr>
        <w:spacing w:after="120"/>
      </w:pPr>
      <w:r>
        <w:t xml:space="preserve">Völliges Unverständnis habe ich</w:t>
      </w:r>
      <w:r>
        <w:t xml:space="preserve">, dass </w:t>
      </w:r>
      <w:r>
        <w:t xml:space="preserve">es die OBS bis dato</w:t>
      </w:r>
      <w:r>
        <w:t xml:space="preserve"> nicht der Mühe </w:t>
      </w:r>
      <w:r>
        <w:t xml:space="preserve">wert </w:t>
      </w:r>
      <w:r>
        <w:t xml:space="preserve">finde</w:t>
      </w:r>
      <w:r>
        <w:t xml:space="preserve">t</w:t>
      </w:r>
      <w:r>
        <w:t xml:space="preserve">, als mit hoheitlichen Aufgaben beliehen</w:t>
      </w:r>
      <w:r>
        <w:t xml:space="preserve">e</w:t>
      </w:r>
      <w:r>
        <w:t xml:space="preserve">s Organ der Bundes</w:t>
      </w:r>
      <w:r>
        <w:t xml:space="preserve">- bzw Landes</w:t>
      </w:r>
      <w:r>
        <w:t xml:space="preserve">verwaltung </w:t>
      </w:r>
      <w:r>
        <w:t xml:space="preserve">die </w:t>
      </w:r>
      <w:r>
        <w:t xml:space="preserve">einschlägigen eindeutigen </w:t>
      </w:r>
      <w:r>
        <w:t xml:space="preserve">gesetzlichen </w:t>
      </w:r>
      <w:r>
        <w:t xml:space="preserve">Verfahrensvorschriften einzuhalten. </w:t>
      </w:r>
      <w:r>
        <w:t xml:space="preserve">Anstelle dessen versuch</w:t>
      </w:r>
      <w:r>
        <w:t xml:space="preserve">t </w:t>
      </w:r>
      <w:r>
        <w:t xml:space="preserve">s</w:t>
      </w:r>
      <w:r>
        <w:t xml:space="preserve">ie</w:t>
      </w:r>
      <w:r>
        <w:t xml:space="preserve">,</w:t>
      </w:r>
      <w:r>
        <w:t xml:space="preserve"> mich </w:t>
      </w:r>
      <w:r>
        <w:t xml:space="preserve">und andere Beitragspflichtige </w:t>
      </w:r>
      <w:r>
        <w:t xml:space="preserve">durch </w:t>
      </w:r>
      <w:r>
        <w:rPr>
          <w:b/>
          <w:bCs w:val="0"/>
        </w:rPr>
        <w:t xml:space="preserve">mutmaßlich</w:t>
      </w:r>
      <w:r>
        <w:rPr>
          <w:b/>
          <w:bCs w:val="0"/>
        </w:rPr>
        <w:t xml:space="preserve"> rechtswidriges Verhalten einzuschüchtern</w:t>
      </w:r>
      <w:r>
        <w:t xml:space="preserve"> und unter </w:t>
      </w:r>
      <w:r>
        <w:rPr>
          <w:b/>
          <w:bCs w:val="0"/>
        </w:rPr>
        <w:t xml:space="preserve">Vorspiegelung falscher rechtlicher </w:t>
      </w:r>
      <w:r>
        <w:rPr>
          <w:b/>
          <w:bCs w:val="0"/>
        </w:rPr>
        <w:t xml:space="preserve">Grundlagen</w:t>
      </w:r>
      <w:r>
        <w:t xml:space="preserve"> zu einer Zahlung </w:t>
      </w:r>
      <w:r>
        <w:t xml:space="preserve">wohl </w:t>
      </w:r>
      <w:r>
        <w:t xml:space="preserve">einer Nichtschuld zu drängen. </w:t>
      </w:r>
      <w:r/>
    </w:p>
    <w:p>
      <w:pPr>
        <w:spacing w:after="120"/>
        <w:rPr>
          <w:u w:val="single"/>
        </w:rPr>
      </w:pPr>
      <w:r>
        <w:rPr>
          <w:u w:val="single"/>
        </w:rPr>
        <w:t xml:space="preserve">Folgende Schritte setzt die OBS </w:t>
      </w:r>
      <w:r>
        <w:rPr>
          <w:u w:val="single"/>
        </w:rPr>
        <w:t xml:space="preserve">bei der Einhebung des ORF-Beitrag</w:t>
      </w:r>
      <w:r>
        <w:rPr>
          <w:u w:val="single"/>
        </w:rPr>
        <w:t xml:space="preserve">s</w:t>
      </w:r>
      <w:r>
        <w:rPr>
          <w:u w:val="single"/>
        </w:rPr>
        <w:t xml:space="preserve"> und der Landesabgaben </w:t>
      </w:r>
      <w:r>
        <w:rPr>
          <w:u w:val="single"/>
        </w:rPr>
        <w:t xml:space="preserve">entgegen de</w:t>
      </w:r>
      <w:r>
        <w:rPr>
          <w:u w:val="single"/>
        </w:rPr>
        <w:t xml:space="preserve">n </w:t>
      </w:r>
      <w:r>
        <w:rPr>
          <w:u w:val="single"/>
        </w:rPr>
        <w:t xml:space="preserve">verfahrensrechtlichen Vorgaben im ORF-Beitrags Gesetz</w:t>
      </w:r>
      <w:r>
        <w:rPr>
          <w:u w:val="single"/>
        </w:rPr>
        <w:t xml:space="preserve"> und den entsprechenden Landesgesetzen</w:t>
      </w:r>
      <w:r>
        <w:rPr>
          <w:u w:val="single"/>
        </w:rPr>
        <w:t xml:space="preserve">:</w:t>
      </w:r>
      <w:r>
        <w:rPr>
          <w:u w:val="single"/>
        </w:rPr>
      </w:r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Ignorieren von Anträgen auf Bescheiderlassung </w:t>
      </w:r>
      <w:r>
        <w:t xml:space="preserve">ohne </w:t>
      </w:r>
      <w:r>
        <w:t xml:space="preserve">Reaktion auf den Erhalt des Schreibens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Plötzliche </w:t>
      </w:r>
      <w:r>
        <w:t xml:space="preserve">Abbuchung von Beträgen ohne vorherige Zusendung einer Zahlungsaufforderung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Verwendung einer Einzugsermächtigung, welche </w:t>
      </w:r>
      <w:r>
        <w:t xml:space="preserve">nur </w:t>
      </w:r>
      <w:r>
        <w:t xml:space="preserve">für den GIS-Beitrag erteilt wurde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Abbuchung von Beträgen</w:t>
      </w:r>
      <w:r>
        <w:t xml:space="preserve"> mit</w:t>
      </w:r>
      <w:r>
        <w:t xml:space="preserve"> Einzugsermächtigung</w:t>
      </w:r>
      <w:r>
        <w:t xml:space="preserve">, die</w:t>
      </w:r>
      <w:r>
        <w:t xml:space="preserve"> </w:t>
      </w:r>
      <w:r>
        <w:t xml:space="preserve">noch </w:t>
      </w:r>
      <w:r>
        <w:t xml:space="preserve">gegenüber der GIS widerrufen wurde</w:t>
      </w:r>
      <w:r>
        <w:t xml:space="preserve">n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Ausstellung weiterer Zahlungsaufforderungen</w:t>
      </w:r>
      <w:r>
        <w:t xml:space="preserve"> nach Stellung eines Antrags auf Bescheiderlassung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Versendung von Mahnungen anstelle von Zahlungsaufforderungen </w:t>
      </w:r>
      <w:r>
        <w:t xml:space="preserve">nach Rückbuchung des Betrags</w:t>
      </w:r>
      <w:r>
        <w:t xml:space="preserve">     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Vorschreibung von Säumniszuschlägen</w:t>
      </w:r>
      <w:r>
        <w:t xml:space="preserve"> </w:t>
      </w:r>
      <w:r>
        <w:t xml:space="preserve">ohne vorherige </w:t>
      </w:r>
      <w:r>
        <w:t xml:space="preserve">Ausstellung von Zahlungsaufforderungen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Bewusste Desinformation und Darlegung einer nicht haltbaren Rechtsansicht in </w:t>
      </w:r>
      <w:r>
        <w:t xml:space="preserve">den </w:t>
      </w:r>
      <w:r>
        <w:t xml:space="preserve">Information</w:t>
      </w:r>
      <w:r>
        <w:t xml:space="preserve">en</w:t>
      </w:r>
      <w:r/>
    </w:p>
    <w:p>
      <w:pPr>
        <w:pStyle w:val="623"/>
        <w:numPr>
          <w:ilvl w:val="0"/>
          <w:numId w:val="1"/>
        </w:numPr>
        <w:ind w:left="426" w:hanging="284"/>
        <w:spacing w:after="120"/>
      </w:pPr>
      <w:r>
        <w:t xml:space="preserve">Einschüchterung von unwissenden Beitragspflichtigen durch Androhung von Zwangsmaßnahmen</w:t>
      </w:r>
      <w:r/>
    </w:p>
    <w:p>
      <w:pPr>
        <w:spacing w:after="120"/>
      </w:pPr>
      <w:r>
        <w:rPr>
          <w:b/>
          <w:bCs w:val="0"/>
        </w:rPr>
        <w:t xml:space="preserve">Ich erwarte mir von Ihnen, </w:t>
      </w:r>
      <w:r>
        <w:t xml:space="preserve">dass Sie Ihren politischen Einfluss </w:t>
      </w:r>
      <w:r>
        <w:rPr>
          <w:b/>
          <w:bCs w:val="0"/>
        </w:rPr>
        <w:t xml:space="preserve">SOFORT</w:t>
      </w:r>
      <w:r>
        <w:t xml:space="preserve"> einsetzen, damit </w:t>
      </w:r>
      <w:r>
        <w:t xml:space="preserve">der </w:t>
      </w:r>
      <w:r>
        <w:rPr>
          <w:b/>
          <w:bCs w:val="0"/>
        </w:rPr>
        <w:t xml:space="preserve">Geschäftsführer der OBS</w:t>
      </w:r>
      <w:r>
        <w:t xml:space="preserve"> seine</w:t>
      </w:r>
      <w:r>
        <w:t xml:space="preserve">r</w:t>
      </w:r>
      <w:r>
        <w:t xml:space="preserve"> Verpflichtung zur </w:t>
      </w:r>
      <w:r>
        <w:rPr>
          <w:b/>
          <w:bCs w:val="0"/>
        </w:rPr>
        <w:t xml:space="preserve">Einhaltung der </w:t>
      </w:r>
      <w:r>
        <w:rPr>
          <w:b/>
          <w:bCs w:val="0"/>
        </w:rPr>
        <w:t xml:space="preserve">Gesetze</w:t>
      </w:r>
      <w:r>
        <w:rPr>
          <w:b/>
          <w:bCs w:val="0"/>
        </w:rPr>
        <w:t xml:space="preserve"> unverzüglich nachkommt</w:t>
      </w:r>
      <w:r>
        <w:t xml:space="preserve">!</w:t>
      </w:r>
      <w:r/>
    </w:p>
    <w:p>
      <w:pPr>
        <w:spacing w:after="120"/>
      </w:pPr>
      <w:r>
        <w:t xml:space="preserve">Zudem müssen nun Menschen </w:t>
      </w:r>
      <w:r>
        <w:t xml:space="preserve">ORF-Beitrag</w:t>
      </w:r>
      <w:r>
        <w:t xml:space="preserve"> bezahlen, die </w:t>
      </w:r>
      <w:r>
        <w:t xml:space="preserve">kein Interesse an den Programmen des ORF hatten/</w:t>
      </w:r>
      <w:r>
        <w:t xml:space="preserve">h</w:t>
      </w:r>
      <w:r>
        <w:t xml:space="preserve">aben.</w:t>
      </w:r>
      <w:r>
        <w:t xml:space="preserve"> </w:t>
      </w:r>
      <w:r>
        <w:t xml:space="preserve">Ich verwehre mich auch gegen die Darstellung, dass der ORF-Beitrag um die Hälfte gekürzt wurde, denn das </w:t>
      </w:r>
      <w:r>
        <w:rPr>
          <w:b/>
          <w:bCs w:val="0"/>
        </w:rPr>
        <w:t xml:space="preserve">Programmentgelt</w:t>
      </w:r>
      <w:r>
        <w:t xml:space="preserve"> wurde </w:t>
      </w:r>
      <w:r>
        <w:rPr>
          <w:b/>
          <w:bCs w:val="0"/>
        </w:rPr>
        <w:t xml:space="preserve">lediglich um </w:t>
      </w:r>
      <w:r>
        <w:rPr>
          <w:b/>
          <w:bCs w:val="0"/>
        </w:rPr>
        <w:t xml:space="preserve">rund </w:t>
      </w:r>
      <w:r>
        <w:rPr>
          <w:b/>
          <w:bCs w:val="0"/>
        </w:rPr>
        <w:t xml:space="preserve">€ 3 </w:t>
      </w:r>
      <w:r>
        <w:t xml:space="preserve">von € 18,</w:t>
      </w:r>
      <w:r>
        <w:t xml:space="preserve">59</w:t>
      </w:r>
      <w:r>
        <w:t xml:space="preserve"> auf € 15,30</w:t>
      </w:r>
      <w:r>
        <w:rPr>
          <w:b/>
          <w:bCs w:val="0"/>
        </w:rPr>
        <w:t xml:space="preserve"> reduziert</w:t>
      </w:r>
      <w:r>
        <w:t xml:space="preserve">. </w:t>
      </w:r>
      <w:r/>
    </w:p>
    <w:p>
      <w:pPr>
        <w:spacing w:after="120"/>
        <w:rPr>
          <w:b/>
          <w:bCs w:val="0"/>
        </w:rPr>
      </w:pPr>
      <w:r>
        <w:t xml:space="preserve">Auch </w:t>
      </w:r>
      <w:r>
        <w:rPr>
          <w:b/>
          <w:bCs w:val="0"/>
        </w:rPr>
        <w:t xml:space="preserve">das Land </w:t>
      </w:r>
      <w:r>
        <w:rPr>
          <w:b/>
          <w:bCs w:val="0"/>
          <w:highlight w:val="yellow"/>
        </w:rPr>
        <w:t xml:space="preserve">Steiermark/Kärnten/Burgenland/ Tirol</w:t>
      </w:r>
      <w:r>
        <w:rPr>
          <w:b/>
          <w:bCs w:val="0"/>
        </w:rPr>
        <w:t xml:space="preserve"> </w:t>
      </w:r>
      <w:r>
        <w:t xml:space="preserve">erhält nun </w:t>
      </w:r>
      <w:r>
        <w:t xml:space="preserve">rund</w:t>
      </w:r>
      <w:r>
        <w:rPr>
          <w:b/>
          <w:bCs w:val="0"/>
        </w:rPr>
        <w:t xml:space="preserve"> € 2,5 Mio</w:t>
      </w:r>
      <w:r>
        <w:rPr>
          <w:b/>
          <w:bCs w:val="0"/>
        </w:rPr>
        <w:t xml:space="preserve">.</w:t>
      </w:r>
      <w:r>
        <w:rPr>
          <w:b/>
          <w:bCs w:val="0"/>
        </w:rPr>
        <w:t xml:space="preserve"> mehr </w:t>
      </w:r>
      <w:r>
        <w:rPr>
          <w:b/>
          <w:bCs w:val="0"/>
        </w:rPr>
        <w:t xml:space="preserve">an Steuergeld</w:t>
      </w:r>
      <w:r>
        <w:rPr>
          <w:b/>
          <w:bCs w:val="0"/>
        </w:rPr>
        <w:t xml:space="preserve">, </w:t>
      </w:r>
      <w:r>
        <w:rPr>
          <w:b/>
          <w:bCs w:val="0"/>
        </w:rPr>
        <w:t xml:space="preserve">obwohl</w:t>
      </w:r>
      <w:r>
        <w:t xml:space="preserve"> </w:t>
      </w:r>
      <w:r>
        <w:rPr>
          <w:b/>
          <w:bCs w:val="0"/>
        </w:rPr>
        <w:t xml:space="preserve">alle anderen Länder </w:t>
      </w:r>
      <w:r>
        <w:rPr>
          <w:b/>
          <w:bCs w:val="0"/>
        </w:rPr>
        <w:t xml:space="preserve">bereits verzichten</w:t>
      </w:r>
      <w:r>
        <w:t xml:space="preserve">, </w:t>
      </w:r>
      <w:r>
        <w:t xml:space="preserve">sich ihre Haushalte durch zusätzliche direkte Zahlungen seitens ihrer Bürger finanzieren zu lassen. </w:t>
      </w:r>
      <w:r>
        <w:t xml:space="preserve">Abgesehen vo</w:t>
      </w:r>
      <w:r>
        <w:t xml:space="preserve">m fragwürdigen Zusammenhang der Mittelverwendung der </w:t>
      </w:r>
      <w:r>
        <w:rPr>
          <w:b/>
          <w:bCs w:val="0"/>
        </w:rPr>
        <w:t xml:space="preserve">Landesabgabe</w:t>
      </w:r>
      <w:r>
        <w:t xml:space="preserve"> mit dem ORF-Beitrag </w:t>
      </w:r>
      <w:r>
        <w:t xml:space="preserve">stößt diese </w:t>
      </w:r>
      <w:r>
        <w:rPr>
          <w:b/>
          <w:bCs w:val="0"/>
        </w:rPr>
        <w:t xml:space="preserve">zusätzliche Belastung</w:t>
      </w:r>
      <w:r>
        <w:t xml:space="preserve"> </w:t>
      </w:r>
      <w:r>
        <w:t xml:space="preserve">in </w:t>
      </w:r>
      <w:r>
        <w:rPr>
          <w:highlight w:val="yellow"/>
        </w:rPr>
        <w:t xml:space="preserve">Kärnten/Steiermark/Burgenland/Tirol</w:t>
      </w:r>
      <w:r>
        <w:t xml:space="preserve">. </w:t>
      </w:r>
      <w:r>
        <w:t xml:space="preserve">angesichts der angespannten Finanzlage vieler Menschen </w:t>
      </w:r>
      <w:r>
        <w:t xml:space="preserve">in unserem Land auf völliges Unverständnis und ist ein </w:t>
      </w:r>
      <w:r>
        <w:rPr>
          <w:b/>
          <w:bCs w:val="0"/>
        </w:rPr>
        <w:t xml:space="preserve">weiterer Beleg einer </w:t>
      </w:r>
      <w:r>
        <w:rPr>
          <w:b/>
          <w:bCs w:val="0"/>
        </w:rPr>
        <w:t xml:space="preserve">bürgerfeindliche</w:t>
      </w:r>
      <w:r>
        <w:rPr>
          <w:b/>
          <w:bCs w:val="0"/>
        </w:rPr>
        <w:t xml:space="preserve">n</w:t>
      </w:r>
      <w:r>
        <w:rPr>
          <w:b/>
          <w:bCs w:val="0"/>
        </w:rPr>
        <w:t xml:space="preserve"> Politik</w:t>
      </w:r>
      <w:r>
        <w:t xml:space="preserve">.</w:t>
      </w:r>
      <w:r>
        <w:t xml:space="preserve"> </w:t>
      </w:r>
      <w:r>
        <w:rPr>
          <w:b/>
          <w:bCs w:val="0"/>
        </w:rPr>
      </w:r>
    </w:p>
    <w:p>
      <w:r>
        <w:t xml:space="preserve">I</w:t>
      </w:r>
      <w:r>
        <w:t xml:space="preserve">ch </w:t>
      </w:r>
      <w:r>
        <w:t xml:space="preserve">fordere</w:t>
      </w:r>
      <w:r>
        <w:rPr>
          <w:b/>
          <w:bCs w:val="0"/>
        </w:rPr>
        <w:t xml:space="preserve"> </w:t>
      </w:r>
      <w:r>
        <w:t xml:space="preserve">eine</w:t>
      </w:r>
      <w:r>
        <w:rPr>
          <w:b/>
          <w:bCs w:val="0"/>
        </w:rPr>
        <w:t xml:space="preserve"> </w:t>
      </w:r>
      <w:r>
        <w:rPr>
          <w:b/>
          <w:bCs w:val="0"/>
        </w:rPr>
        <w:t xml:space="preserve">rasche Änderung des ORF-Beitrags Gesetz</w:t>
      </w:r>
      <w:r>
        <w:rPr>
          <w:b/>
          <w:bCs w:val="0"/>
        </w:rPr>
        <w:t xml:space="preserve"> </w:t>
      </w:r>
      <w:r>
        <w:t xml:space="preserve">im Sinne einer</w:t>
      </w:r>
      <w:r>
        <w:rPr>
          <w:b/>
          <w:bCs w:val="0"/>
        </w:rPr>
        <w:t xml:space="preserve"> Wahlfreiheit </w:t>
      </w:r>
      <w:r>
        <w:rPr>
          <w:b/>
          <w:bCs w:val="0"/>
        </w:rPr>
        <w:t xml:space="preserve">und</w:t>
      </w:r>
      <w:r>
        <w:t xml:space="preserve"> </w:t>
      </w:r>
      <w:r>
        <w:t xml:space="preserve">einen </w:t>
      </w:r>
      <w:r>
        <w:rPr>
          <w:b/>
          <w:bCs w:val="0"/>
        </w:rPr>
        <w:t xml:space="preserve">Verzicht auf die Landesabgabe</w:t>
      </w:r>
      <w:r>
        <w:t xml:space="preserve"> und </w:t>
      </w:r>
      <w:r>
        <w:t xml:space="preserve">erwarte </w:t>
      </w:r>
      <w:r>
        <w:t xml:space="preserve">I</w:t>
      </w:r>
      <w:r>
        <w:t xml:space="preserve">hre </w:t>
      </w:r>
      <w:r>
        <w:rPr>
          <w:b/>
          <w:bCs w:val="0"/>
        </w:rPr>
        <w:t xml:space="preserve">Stellungnahme binnen 7 Tagen</w:t>
      </w:r>
      <w:r>
        <w:t xml:space="preserve">.</w:t>
      </w:r>
      <w:r>
        <w:t xml:space="preserve"> </w:t>
      </w:r>
      <w:r>
        <w:t xml:space="preserve">Ferner </w:t>
      </w:r>
      <w:r>
        <w:t xml:space="preserve">informiere ich Sie</w:t>
      </w:r>
      <w:r>
        <w:t xml:space="preserve">, dass ich </w:t>
      </w:r>
      <w:r>
        <w:rPr>
          <w:b/>
          <w:bCs w:val="0"/>
        </w:rPr>
        <w:t xml:space="preserve">Ihre politische </w:t>
      </w:r>
      <w:r>
        <w:rPr>
          <w:b/>
          <w:bCs w:val="0"/>
        </w:rPr>
        <w:t xml:space="preserve">Haltung </w:t>
      </w:r>
      <w:r>
        <w:t xml:space="preserve">in Bezug auf den</w:t>
      </w:r>
      <w:r>
        <w:t xml:space="preserve"> </w:t>
      </w:r>
      <w:r>
        <w:t xml:space="preserve">neuen ORF-Beitrag</w:t>
      </w:r>
      <w:r>
        <w:t xml:space="preserve"> samt dem Beharren auf der Landesabgabe u</w:t>
      </w:r>
      <w:r>
        <w:t xml:space="preserve">nd das Vorgehen der OBS</w:t>
      </w:r>
      <w:r>
        <w:t xml:space="preserve"> </w:t>
      </w:r>
      <w:r>
        <w:rPr>
          <w:b/>
          <w:bCs w:val="0"/>
        </w:rPr>
        <w:t xml:space="preserve">bei </w:t>
      </w:r>
      <w:r>
        <w:rPr>
          <w:b/>
          <w:bCs w:val="0"/>
        </w:rPr>
        <w:t xml:space="preserve">zukünftigen </w:t>
      </w:r>
      <w:r>
        <w:rPr>
          <w:b/>
          <w:bCs w:val="0"/>
        </w:rPr>
        <w:t xml:space="preserve">Wahlentscheidung</w:t>
      </w:r>
      <w:r>
        <w:rPr>
          <w:b/>
          <w:bCs w:val="0"/>
        </w:rPr>
        <w:t xml:space="preserve">en</w:t>
      </w:r>
      <w:r>
        <w:rPr>
          <w:b/>
          <w:bCs w:val="0"/>
        </w:rPr>
        <w:t xml:space="preserve"> mitberücksichtige</w:t>
      </w:r>
      <w:r>
        <w:rPr>
          <w:b/>
          <w:bCs w:val="0"/>
        </w:rPr>
        <w:t xml:space="preserve">.</w:t>
      </w:r>
      <w:r/>
    </w:p>
    <w:p>
      <w:pPr>
        <w:spacing w:line="240" w:lineRule="auto"/>
      </w:pPr>
      <w:r/>
      <w:r/>
    </w:p>
    <w:p>
      <w:pPr>
        <w:jc w:val="center"/>
        <w:spacing w:after="0" w:afterAutospacing="0"/>
        <w:rPr>
          <w:b w:val="0"/>
          <w:bCs w:val="0"/>
          <w:highlight w:val="yellow"/>
          <w14:ligatures w14:val="none"/>
        </w:rPr>
      </w:pPr>
      <w:r>
        <w:rPr>
          <w:b w:val="0"/>
          <w:bCs w:val="0"/>
          <w:highlight w:val="yellow"/>
        </w:rPr>
        <w:t xml:space="preserve">Familienname </w:t>
      </w:r>
      <w:r>
        <w:rPr>
          <w:b w:val="0"/>
          <w:bCs w:val="0"/>
          <w:highlight w:val="yellow"/>
        </w:rPr>
        <w:t xml:space="preserve">Rufname</w:t>
      </w:r>
      <w:r>
        <w:rPr>
          <w:b w:val="0"/>
          <w:bCs w:val="0"/>
          <w:highlight w:val="yellow"/>
          <w14:ligatures w14:val="none"/>
        </w:rPr>
      </w:r>
      <w:r>
        <w:rPr>
          <w:b w:val="0"/>
          <w:bCs w:val="0"/>
          <w:highlight w:val="yellow"/>
          <w14:ligatures w14:val="none"/>
        </w:rPr>
      </w:r>
    </w:p>
    <w:p>
      <w:pPr>
        <w:jc w:val="center"/>
        <w:spacing w:after="0" w:afterAutospacing="0"/>
        <w:rPr>
          <w:b w:val="0"/>
          <w:bCs w:val="0"/>
          <w:highlight w:val="yellow"/>
          <w14:ligatures w14:val="none"/>
        </w:rPr>
      </w:pPr>
      <w:r>
        <w:rPr>
          <w:b w:val="0"/>
          <w:bCs w:val="0"/>
          <w:highlight w:val="yellow"/>
        </w:rPr>
        <w:t xml:space="preserve">Adresse</w:t>
      </w:r>
      <w:r>
        <w:rPr>
          <w:b w:val="0"/>
          <w:bCs w:val="0"/>
          <w:highlight w:val="yellow"/>
          <w14:ligatures w14:val="none"/>
        </w:rPr>
      </w:r>
      <w:r>
        <w:rPr>
          <w:b w:val="0"/>
          <w:bCs w:val="0"/>
          <w:highlight w:val="yellow"/>
          <w14:ligatures w14:val="none"/>
        </w:rPr>
      </w:r>
      <w:r/>
      <w:r/>
      <w:r>
        <w:rPr>
          <w:b w:val="0"/>
          <w:bCs w:val="0"/>
          <w:highlight w:val="yellow"/>
          <w14:ligatures w14:val="none"/>
        </w:rPr>
      </w:r>
    </w:p>
    <w:sectPr>
      <w:footnotePr/>
      <w:endnotePr/>
      <w:type w:val="nextPage"/>
      <w:pgSz w:w="11906" w:h="16838" w:orient="portrait"/>
      <w:pgMar w:top="85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00000000000000000"/>
  </w:font>
  <w:font w:name="Arial">
    <w:panose1 w:val="020B0604020202020204"/>
  </w:font>
  <w:font w:name="Myriad Pro">
    <w:panose1 w:val="02000603000000000000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Myriad Pro" w:hAnsi="Myriad Pro" w:eastAsiaTheme="minorHAnsi" w:cstheme="minorBidi"/>
        <w:bCs/>
        <w:sz w:val="22"/>
        <w:szCs w:val="22"/>
        <w:lang w:val="de-DE" w:eastAsia="en-US" w:bidi="ar-SA"/>
        <w14:ligatures w14:val="standardContextual"/>
      </w:rPr>
    </w:rPrDefault>
    <w:pPrDefault>
      <w:pPr>
        <w:jc w:val="both"/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paragraph" w:styleId="623">
    <w:name w:val="List Paragraph"/>
    <w:basedOn w:val="61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Geko - Richter der Neuen Zeit</dc:creator>
  <cp:keywords/>
  <dc:description/>
  <cp:revision>6</cp:revision>
  <dcterms:created xsi:type="dcterms:W3CDTF">2024-02-19T12:48:00Z</dcterms:created>
  <dcterms:modified xsi:type="dcterms:W3CDTF">2024-03-09T17:45:19Z</dcterms:modified>
</cp:coreProperties>
</file>